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C2" w:rsidRPr="00CA6EC2" w:rsidRDefault="00CA6EC2" w:rsidP="00251A2A">
      <w:pPr>
        <w:jc w:val="center"/>
        <w:rPr>
          <w:b/>
        </w:rPr>
      </w:pPr>
      <w:bookmarkStart w:id="0" w:name="_GoBack"/>
      <w:bookmarkEnd w:id="0"/>
      <w:r w:rsidRPr="00CA6EC2">
        <w:rPr>
          <w:b/>
        </w:rPr>
        <w:t>Evaluation Plan</w:t>
      </w:r>
    </w:p>
    <w:tbl>
      <w:tblPr>
        <w:tblStyle w:val="TableGrid"/>
        <w:tblW w:w="14058" w:type="dxa"/>
        <w:tblLayout w:type="fixed"/>
        <w:tblLook w:val="00BF" w:firstRow="1" w:lastRow="0" w:firstColumn="1" w:lastColumn="0" w:noHBand="0" w:noVBand="0"/>
      </w:tblPr>
      <w:tblGrid>
        <w:gridCol w:w="378"/>
        <w:gridCol w:w="720"/>
        <w:gridCol w:w="4950"/>
        <w:gridCol w:w="4140"/>
        <w:gridCol w:w="3870"/>
      </w:tblGrid>
      <w:tr w:rsidR="00CA6EC2" w:rsidRPr="00FB309C">
        <w:trPr>
          <w:cantSplit/>
          <w:trHeight w:val="665"/>
        </w:trPr>
        <w:tc>
          <w:tcPr>
            <w:tcW w:w="1098" w:type="dxa"/>
            <w:gridSpan w:val="2"/>
            <w:textDirection w:val="btLr"/>
          </w:tcPr>
          <w:p w:rsidR="00CA6EC2" w:rsidRPr="00FB309C" w:rsidRDefault="00CA6EC2" w:rsidP="00056115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950" w:type="dxa"/>
          </w:tcPr>
          <w:p w:rsidR="00CA6EC2" w:rsidRDefault="00CA6EC2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Incorporates Best PBL Practices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A6EC2" w:rsidRPr="00FB309C" w:rsidRDefault="00CA6EC2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 pts)</w:t>
            </w:r>
          </w:p>
        </w:tc>
        <w:tc>
          <w:tcPr>
            <w:tcW w:w="4140" w:type="dxa"/>
          </w:tcPr>
          <w:p w:rsidR="00CA6EC2" w:rsidRDefault="00CA6EC2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Needs Further Development</w:t>
            </w:r>
          </w:p>
          <w:p w:rsidR="00CA6EC2" w:rsidRPr="00FB309C" w:rsidRDefault="00CA6EC2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 pts)</w:t>
            </w:r>
          </w:p>
        </w:tc>
        <w:tc>
          <w:tcPr>
            <w:tcW w:w="3870" w:type="dxa"/>
          </w:tcPr>
          <w:p w:rsidR="00CA6EC2" w:rsidRDefault="00CA6EC2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Lacks Essential PBL Characteristics</w:t>
            </w:r>
          </w:p>
          <w:p w:rsidR="00CA6EC2" w:rsidRPr="00FB309C" w:rsidRDefault="00CA6EC2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 pts)</w:t>
            </w:r>
          </w:p>
        </w:tc>
      </w:tr>
      <w:tr w:rsidR="00CA6EC2" w:rsidRPr="00FB309C">
        <w:trPr>
          <w:cantSplit/>
          <w:trHeight w:val="1376"/>
        </w:trPr>
        <w:tc>
          <w:tcPr>
            <w:tcW w:w="1098" w:type="dxa"/>
            <w:gridSpan w:val="2"/>
            <w:textDirection w:val="btLr"/>
          </w:tcPr>
          <w:p w:rsidR="00CA6EC2" w:rsidRPr="00FB309C" w:rsidRDefault="00CA6EC2" w:rsidP="00056115">
            <w:pPr>
              <w:ind w:left="113" w:right="113"/>
              <w:rPr>
                <w:rFonts w:ascii="Times New Roman" w:hAnsi="Times New Roman"/>
                <w:b/>
              </w:rPr>
            </w:pPr>
            <w:proofErr w:type="gramStart"/>
            <w:r w:rsidRPr="00FB309C">
              <w:rPr>
                <w:rFonts w:ascii="Times New Roman" w:hAnsi="Times New Roman"/>
                <w:b/>
              </w:rPr>
              <w:t>Formative  assessment</w:t>
            </w:r>
            <w:proofErr w:type="gramEnd"/>
          </w:p>
        </w:tc>
        <w:tc>
          <w:tcPr>
            <w:tcW w:w="4950" w:type="dxa"/>
          </w:tcPr>
          <w:p w:rsidR="00CA6EC2" w:rsidRPr="00FB309C" w:rsidRDefault="00CA6EC2" w:rsidP="0036135E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 range of assessments including peer and self-evaluation are used frequently to monitor student learning and student work and to provide feedback to students, enabling them to revise and create better products</w:t>
            </w:r>
          </w:p>
        </w:tc>
        <w:tc>
          <w:tcPr>
            <w:tcW w:w="4140" w:type="dxa"/>
          </w:tcPr>
          <w:p w:rsidR="00CA6EC2" w:rsidRPr="00FB309C" w:rsidRDefault="00CA6EC2" w:rsidP="00FA1D63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On-going informal assessment and formal evaluations occur infrequently and are not able to provide enough identification and support for student difficulties</w:t>
            </w:r>
          </w:p>
        </w:tc>
        <w:tc>
          <w:tcPr>
            <w:tcW w:w="3870" w:type="dxa"/>
          </w:tcPr>
          <w:p w:rsidR="00CA6EC2" w:rsidRPr="00FB309C" w:rsidRDefault="00CA6EC2" w:rsidP="00FA1D63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All assessment is done at the end of the </w:t>
            </w:r>
            <w:r>
              <w:rPr>
                <w:rFonts w:ascii="Times New Roman" w:hAnsi="Times New Roman"/>
              </w:rPr>
              <w:t>project</w:t>
            </w:r>
          </w:p>
        </w:tc>
      </w:tr>
      <w:tr w:rsidR="00864B2F" w:rsidRPr="00FB309C">
        <w:trPr>
          <w:cantSplit/>
          <w:trHeight w:val="1988"/>
        </w:trPr>
        <w:tc>
          <w:tcPr>
            <w:tcW w:w="378" w:type="dxa"/>
            <w:vMerge w:val="restart"/>
            <w:textDirection w:val="btLr"/>
          </w:tcPr>
          <w:p w:rsidR="00864B2F" w:rsidRPr="00FB309C" w:rsidRDefault="00864B2F" w:rsidP="00AE3D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Assessment</w:t>
            </w:r>
          </w:p>
        </w:tc>
        <w:tc>
          <w:tcPr>
            <w:tcW w:w="720" w:type="dxa"/>
            <w:textDirection w:val="btLr"/>
          </w:tcPr>
          <w:p w:rsidR="00864B2F" w:rsidRPr="00FB309C" w:rsidRDefault="00864B2F" w:rsidP="00AE3DD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Assessment tools</w:t>
            </w:r>
          </w:p>
        </w:tc>
        <w:tc>
          <w:tcPr>
            <w:tcW w:w="4950" w:type="dxa"/>
          </w:tcPr>
          <w:p w:rsidR="00864B2F" w:rsidRPr="00FB309C" w:rsidRDefault="00864B2F" w:rsidP="00FA1D63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Teacher includes a variety of developed assessment tools (e.g., Rubrics, </w:t>
            </w:r>
            <w:r>
              <w:rPr>
                <w:rFonts w:ascii="Times New Roman" w:hAnsi="Times New Roman"/>
              </w:rPr>
              <w:t>checklists, presentations</w:t>
            </w:r>
            <w:r w:rsidRPr="00FB309C">
              <w:rPr>
                <w:rFonts w:ascii="Times New Roman" w:hAnsi="Times New Roman"/>
              </w:rPr>
              <w:t>) that they will use to assess stude</w:t>
            </w:r>
            <w:r>
              <w:rPr>
                <w:rFonts w:ascii="Times New Roman" w:hAnsi="Times New Roman"/>
              </w:rPr>
              <w:t>nt learning of content, student</w:t>
            </w:r>
            <w:r w:rsidRPr="00FB309C">
              <w:rPr>
                <w:rFonts w:ascii="Times New Roman" w:hAnsi="Times New Roman"/>
              </w:rPr>
              <w:t xml:space="preserve"> processes and products, and how they will help students monitor their own development of collaboration and problem-solving skills</w:t>
            </w:r>
          </w:p>
        </w:tc>
        <w:tc>
          <w:tcPr>
            <w:tcW w:w="4140" w:type="dxa"/>
          </w:tcPr>
          <w:p w:rsidR="00864B2F" w:rsidRPr="00FB309C" w:rsidRDefault="00864B2F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Teacher includes 1 or 2 assessment tools for content, processes, and products of student learning and growth in the area of collaboration and problem-solving skills</w:t>
            </w:r>
          </w:p>
        </w:tc>
        <w:tc>
          <w:tcPr>
            <w:tcW w:w="3870" w:type="dxa"/>
          </w:tcPr>
          <w:p w:rsidR="00864B2F" w:rsidRPr="00FB309C" w:rsidRDefault="00864B2F" w:rsidP="00436DD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Teacher includes only one assessment tool for content and products of student learning and fails to assess student learning processes</w:t>
            </w:r>
          </w:p>
        </w:tc>
      </w:tr>
      <w:tr w:rsidR="00864B2F" w:rsidRPr="00FB309C">
        <w:trPr>
          <w:cantSplit/>
          <w:trHeight w:val="890"/>
        </w:trPr>
        <w:tc>
          <w:tcPr>
            <w:tcW w:w="378" w:type="dxa"/>
            <w:vMerge/>
            <w:textDirection w:val="btLr"/>
          </w:tcPr>
          <w:p w:rsidR="00864B2F" w:rsidRPr="00FB309C" w:rsidRDefault="00864B2F" w:rsidP="00AE3D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864B2F" w:rsidRPr="00FB309C" w:rsidRDefault="00864B2F" w:rsidP="00AE3DD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Products &amp; Processes</w:t>
            </w:r>
          </w:p>
        </w:tc>
        <w:tc>
          <w:tcPr>
            <w:tcW w:w="4950" w:type="dxa"/>
          </w:tcPr>
          <w:p w:rsidR="00864B2F" w:rsidRPr="00FB309C" w:rsidRDefault="00864B2F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Summative </w:t>
            </w:r>
            <w:r>
              <w:rPr>
                <w:rFonts w:ascii="Times New Roman" w:hAnsi="Times New Roman"/>
              </w:rPr>
              <w:t>assessment focuses on both team-</w:t>
            </w:r>
            <w:r w:rsidRPr="00FB309C">
              <w:rPr>
                <w:rFonts w:ascii="Times New Roman" w:hAnsi="Times New Roman"/>
              </w:rPr>
              <w:t>created products and individual learning</w:t>
            </w:r>
          </w:p>
        </w:tc>
        <w:tc>
          <w:tcPr>
            <w:tcW w:w="4140" w:type="dxa"/>
          </w:tcPr>
          <w:p w:rsidR="00864B2F" w:rsidRPr="00FB309C" w:rsidRDefault="00864B2F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Summative assessment focuses only on one major product</w:t>
            </w:r>
          </w:p>
        </w:tc>
        <w:tc>
          <w:tcPr>
            <w:tcW w:w="3870" w:type="dxa"/>
          </w:tcPr>
          <w:p w:rsidR="00864B2F" w:rsidRPr="00FB309C" w:rsidRDefault="00864B2F" w:rsidP="006677C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No summative assessments are planned or focuses only on one aspect of student learning</w:t>
            </w:r>
          </w:p>
        </w:tc>
      </w:tr>
      <w:tr w:rsidR="00864B2F" w:rsidRPr="00FB309C">
        <w:trPr>
          <w:cantSplit/>
          <w:trHeight w:val="908"/>
        </w:trPr>
        <w:tc>
          <w:tcPr>
            <w:tcW w:w="378" w:type="dxa"/>
            <w:vMerge/>
            <w:textDirection w:val="btLr"/>
          </w:tcPr>
          <w:p w:rsidR="00864B2F" w:rsidRPr="00FB309C" w:rsidRDefault="00864B2F" w:rsidP="00AE3D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864B2F" w:rsidRPr="00FB309C" w:rsidRDefault="00864B2F" w:rsidP="00E43B9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:rsidR="00864B2F" w:rsidRPr="00FB309C" w:rsidRDefault="00864B2F" w:rsidP="00653069">
            <w:pPr>
              <w:pStyle w:val="ListParagraph"/>
              <w:numPr>
                <w:ilvl w:val="0"/>
                <w:numId w:val="4"/>
              </w:numPr>
              <w:ind w:left="16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Summative assessment includes an evaluation of student processes</w:t>
            </w:r>
          </w:p>
        </w:tc>
        <w:tc>
          <w:tcPr>
            <w:tcW w:w="4140" w:type="dxa"/>
          </w:tcPr>
          <w:p w:rsidR="00864B2F" w:rsidRPr="00FB309C" w:rsidRDefault="00864B2F" w:rsidP="00A01251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Summative assessment includes a time when students can answer questions about the processes they used</w:t>
            </w:r>
          </w:p>
        </w:tc>
        <w:tc>
          <w:tcPr>
            <w:tcW w:w="3870" w:type="dxa"/>
          </w:tcPr>
          <w:p w:rsidR="00864B2F" w:rsidRPr="00FB309C" w:rsidRDefault="00864B2F" w:rsidP="00653069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There is no formal assessment of processes</w:t>
            </w:r>
          </w:p>
        </w:tc>
      </w:tr>
      <w:tr w:rsidR="00864B2F" w:rsidRPr="00FB309C">
        <w:trPr>
          <w:cantSplit/>
          <w:trHeight w:val="908"/>
        </w:trPr>
        <w:tc>
          <w:tcPr>
            <w:tcW w:w="378" w:type="dxa"/>
            <w:vMerge/>
            <w:textDirection w:val="btLr"/>
          </w:tcPr>
          <w:p w:rsidR="00864B2F" w:rsidRPr="00FB309C" w:rsidRDefault="00864B2F" w:rsidP="00AE3D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864B2F" w:rsidRPr="00FB309C" w:rsidRDefault="00864B2F" w:rsidP="00E43B9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:rsidR="00864B2F" w:rsidRPr="00FB309C" w:rsidRDefault="00864B2F" w:rsidP="00A01251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Summative assessment includes evaluation of skills including the following:</w:t>
            </w:r>
          </w:p>
          <w:p w:rsidR="00864B2F" w:rsidRPr="00FB309C" w:rsidRDefault="00864B2F" w:rsidP="00A01251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Collaboration skills</w:t>
            </w:r>
          </w:p>
          <w:p w:rsidR="00864B2F" w:rsidRPr="00FB309C" w:rsidRDefault="00864B2F" w:rsidP="00A01251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Problem solving skills</w:t>
            </w:r>
          </w:p>
        </w:tc>
        <w:tc>
          <w:tcPr>
            <w:tcW w:w="4140" w:type="dxa"/>
          </w:tcPr>
          <w:p w:rsidR="00864B2F" w:rsidRPr="00FB309C" w:rsidRDefault="00864B2F" w:rsidP="00A01251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Summative assessment includes a teacher only evaluation of skills including the following:</w:t>
            </w:r>
          </w:p>
          <w:p w:rsidR="00864B2F" w:rsidRPr="00FB309C" w:rsidRDefault="00864B2F" w:rsidP="00A01251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Collaboration skills</w:t>
            </w:r>
          </w:p>
          <w:p w:rsidR="00864B2F" w:rsidRPr="00FB309C" w:rsidRDefault="00864B2F" w:rsidP="00A01251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Problem solving skills</w:t>
            </w:r>
          </w:p>
        </w:tc>
        <w:tc>
          <w:tcPr>
            <w:tcW w:w="3870" w:type="dxa"/>
          </w:tcPr>
          <w:p w:rsidR="00864B2F" w:rsidRPr="00FB309C" w:rsidRDefault="00864B2F" w:rsidP="00653069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Summative assessment does not include an evaluation of student skills</w:t>
            </w:r>
          </w:p>
        </w:tc>
      </w:tr>
      <w:tr w:rsidR="00864B2F" w:rsidRPr="00FB309C">
        <w:trPr>
          <w:cantSplit/>
          <w:trHeight w:val="908"/>
        </w:trPr>
        <w:tc>
          <w:tcPr>
            <w:tcW w:w="378" w:type="dxa"/>
            <w:vMerge/>
            <w:textDirection w:val="btLr"/>
          </w:tcPr>
          <w:p w:rsidR="00864B2F" w:rsidRPr="00FB309C" w:rsidRDefault="00864B2F" w:rsidP="00AE3D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864B2F" w:rsidRPr="00FB309C" w:rsidRDefault="00864B2F" w:rsidP="00E43B9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950" w:type="dxa"/>
          </w:tcPr>
          <w:p w:rsidR="00864B2F" w:rsidRPr="00FB309C" w:rsidRDefault="00864B2F" w:rsidP="00653069">
            <w:pPr>
              <w:pStyle w:val="ListParagraph"/>
              <w:numPr>
                <w:ilvl w:val="0"/>
                <w:numId w:val="4"/>
              </w:numPr>
              <w:ind w:left="16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Expectations for student products are clearly communicated to students through rubrics and other devices</w:t>
            </w:r>
          </w:p>
        </w:tc>
        <w:tc>
          <w:tcPr>
            <w:tcW w:w="4140" w:type="dxa"/>
          </w:tcPr>
          <w:p w:rsidR="00864B2F" w:rsidRPr="00FB309C" w:rsidRDefault="00864B2F" w:rsidP="00A01251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Expectations about the quality of work required are not clearly communicated</w:t>
            </w:r>
          </w:p>
        </w:tc>
        <w:tc>
          <w:tcPr>
            <w:tcW w:w="3870" w:type="dxa"/>
          </w:tcPr>
          <w:p w:rsidR="00864B2F" w:rsidRPr="00FB309C" w:rsidRDefault="00864B2F" w:rsidP="00653069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Expectations about the quality of work required are not communicated through rubrics or other devices</w:t>
            </w:r>
          </w:p>
        </w:tc>
      </w:tr>
      <w:tr w:rsidR="00864B2F" w:rsidRPr="00FB309C">
        <w:trPr>
          <w:cantSplit/>
          <w:trHeight w:val="1097"/>
        </w:trPr>
        <w:tc>
          <w:tcPr>
            <w:tcW w:w="37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864B2F" w:rsidRPr="00FB309C" w:rsidRDefault="00864B2F" w:rsidP="00AE3D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864B2F" w:rsidRPr="00FB309C" w:rsidRDefault="00864B2F" w:rsidP="00AE3DD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864B2F" w:rsidRPr="00FB309C" w:rsidRDefault="00864B2F" w:rsidP="00A01251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present their products publicly in a format and receive feedback and evaluations from various people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864B2F" w:rsidRPr="00FB309C" w:rsidRDefault="00864B2F" w:rsidP="00A01251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present their products to their class and receive feedback and evaluations from their peers and teacher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864B2F" w:rsidRPr="00FB309C" w:rsidRDefault="00864B2F" w:rsidP="00E43B9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teacher is the only one who reviews and evaluates student work</w:t>
            </w:r>
          </w:p>
        </w:tc>
      </w:tr>
      <w:tr w:rsidR="00CA6EC2" w:rsidRPr="00FB309C">
        <w:trPr>
          <w:cantSplit/>
          <w:trHeight w:val="323"/>
        </w:trPr>
        <w:tc>
          <w:tcPr>
            <w:tcW w:w="378" w:type="dxa"/>
            <w:tcBorders>
              <w:right w:val="nil"/>
            </w:tcBorders>
            <w:textDirection w:val="btLr"/>
          </w:tcPr>
          <w:p w:rsidR="00CA6EC2" w:rsidRPr="00FB309C" w:rsidRDefault="00CA6EC2" w:rsidP="00AE3D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extDirection w:val="btLr"/>
          </w:tcPr>
          <w:p w:rsidR="00CA6EC2" w:rsidRPr="00FB309C" w:rsidRDefault="00CA6EC2" w:rsidP="00AE3DD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:rsidR="00CA6EC2" w:rsidRPr="00E07900" w:rsidRDefault="00CA6EC2" w:rsidP="00E07900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CA6EC2" w:rsidRPr="00E07900" w:rsidRDefault="00CA6EC2" w:rsidP="00E07900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CA6EC2" w:rsidRPr="00FB309C" w:rsidRDefault="00CA6EC2" w:rsidP="00E07900">
            <w:pPr>
              <w:pStyle w:val="ListParagraph"/>
              <w:ind w:left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  <w:b/>
              </w:rPr>
              <w:t>Total Score</w:t>
            </w:r>
            <w:r>
              <w:rPr>
                <w:rFonts w:ascii="Times New Roman" w:hAnsi="Times New Roman"/>
                <w:b/>
              </w:rPr>
              <w:t>_______</w:t>
            </w:r>
            <w:r>
              <w:rPr>
                <w:rFonts w:ascii="Times New Roman" w:hAnsi="Times New Roman"/>
                <w:b/>
                <w:u w:val="single"/>
              </w:rPr>
              <w:t>/28</w:t>
            </w:r>
          </w:p>
        </w:tc>
      </w:tr>
    </w:tbl>
    <w:p w:rsidR="00211059" w:rsidRPr="00A03974" w:rsidRDefault="00211059" w:rsidP="00251A2A">
      <w:pPr>
        <w:rPr>
          <w:rFonts w:ascii="Times New Roman" w:hAnsi="Times New Roman"/>
          <w:b/>
        </w:rPr>
      </w:pPr>
    </w:p>
    <w:sectPr w:rsidR="00211059" w:rsidRPr="00A03974" w:rsidSect="00251A2A">
      <w:headerReference w:type="default" r:id="rId8"/>
      <w:pgSz w:w="15840" w:h="12240" w:orient="landscape"/>
      <w:pgMar w:top="450" w:right="1440" w:bottom="6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4166">
      <w:r>
        <w:separator/>
      </w:r>
    </w:p>
  </w:endnote>
  <w:endnote w:type="continuationSeparator" w:id="0">
    <w:p w:rsidR="00000000" w:rsidRDefault="006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4166">
      <w:r>
        <w:separator/>
      </w:r>
    </w:p>
  </w:footnote>
  <w:footnote w:type="continuationSeparator" w:id="0">
    <w:p w:rsidR="00000000" w:rsidRDefault="00684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C2" w:rsidRPr="00251A2A" w:rsidRDefault="00CA6EC2" w:rsidP="00251A2A">
    <w:pPr>
      <w:rPr>
        <w:i/>
      </w:rPr>
    </w:pPr>
    <w:r w:rsidRPr="00211059">
      <w:rPr>
        <w:i/>
      </w:rPr>
      <w:t>EDCI 62700</w:t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="00251A2A">
      <w:rPr>
        <w:i/>
      </w:rPr>
      <w:tab/>
    </w:r>
    <w:r w:rsidR="00251A2A">
      <w:rPr>
        <w:i/>
      </w:rPr>
      <w:tab/>
    </w:r>
    <w:r w:rsidR="00251A2A">
      <w:rPr>
        <w:i/>
      </w:rPr>
      <w:tab/>
    </w:r>
    <w:r w:rsidRPr="00211059">
      <w:rPr>
        <w:i/>
      </w:rPr>
      <w:t>PBL Rubric</w:t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  <w:t xml:space="preserve">          </w:t>
    </w:r>
    <w:r w:rsidR="00251A2A">
      <w:rPr>
        <w:i/>
      </w:rPr>
      <w:tab/>
    </w:r>
    <w:r w:rsidR="00251A2A">
      <w:rPr>
        <w:i/>
      </w:rPr>
      <w:tab/>
    </w:r>
    <w:r w:rsidR="00251A2A">
      <w:rPr>
        <w:i/>
      </w:rPr>
      <w:tab/>
    </w:r>
    <w:r w:rsidRPr="00211059">
      <w:rPr>
        <w:i/>
      </w:rPr>
      <w:t xml:space="preserve"> Summer 2011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4A7"/>
    <w:multiLevelType w:val="hybridMultilevel"/>
    <w:tmpl w:val="E1286670"/>
    <w:lvl w:ilvl="0" w:tplc="22347D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15704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D6CA2"/>
    <w:multiLevelType w:val="hybridMultilevel"/>
    <w:tmpl w:val="828A77B2"/>
    <w:lvl w:ilvl="0" w:tplc="0092444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229F"/>
    <w:multiLevelType w:val="hybridMultilevel"/>
    <w:tmpl w:val="CBA4D4F4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40C9F"/>
    <w:multiLevelType w:val="hybridMultilevel"/>
    <w:tmpl w:val="CBA4D4F4"/>
    <w:lvl w:ilvl="0" w:tplc="0092444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75435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47E4C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20BC3"/>
    <w:rsid w:val="00056115"/>
    <w:rsid w:val="000C671F"/>
    <w:rsid w:val="000E6929"/>
    <w:rsid w:val="00151827"/>
    <w:rsid w:val="001A6D2A"/>
    <w:rsid w:val="001D204B"/>
    <w:rsid w:val="00211059"/>
    <w:rsid w:val="00251A2A"/>
    <w:rsid w:val="00286F95"/>
    <w:rsid w:val="002A6A18"/>
    <w:rsid w:val="002B0708"/>
    <w:rsid w:val="002B67A0"/>
    <w:rsid w:val="002C7103"/>
    <w:rsid w:val="002E5815"/>
    <w:rsid w:val="00313E56"/>
    <w:rsid w:val="00314C00"/>
    <w:rsid w:val="003248BB"/>
    <w:rsid w:val="00327FAB"/>
    <w:rsid w:val="003410E2"/>
    <w:rsid w:val="0034192C"/>
    <w:rsid w:val="0035606C"/>
    <w:rsid w:val="0036135E"/>
    <w:rsid w:val="00396E0C"/>
    <w:rsid w:val="003C45C0"/>
    <w:rsid w:val="003D0EFE"/>
    <w:rsid w:val="003E4E33"/>
    <w:rsid w:val="00417925"/>
    <w:rsid w:val="00436DDB"/>
    <w:rsid w:val="00457EE5"/>
    <w:rsid w:val="004B4D63"/>
    <w:rsid w:val="005904AD"/>
    <w:rsid w:val="005B7BEE"/>
    <w:rsid w:val="005E2A74"/>
    <w:rsid w:val="00620BC3"/>
    <w:rsid w:val="00653069"/>
    <w:rsid w:val="006677C5"/>
    <w:rsid w:val="006817D8"/>
    <w:rsid w:val="00684166"/>
    <w:rsid w:val="006D037A"/>
    <w:rsid w:val="006D79CE"/>
    <w:rsid w:val="006F6C23"/>
    <w:rsid w:val="00775E0A"/>
    <w:rsid w:val="00776164"/>
    <w:rsid w:val="007D0BC4"/>
    <w:rsid w:val="00864B2F"/>
    <w:rsid w:val="008E367E"/>
    <w:rsid w:val="008E76C7"/>
    <w:rsid w:val="00985E25"/>
    <w:rsid w:val="009B2E4A"/>
    <w:rsid w:val="009C7D33"/>
    <w:rsid w:val="009F6D22"/>
    <w:rsid w:val="00A01251"/>
    <w:rsid w:val="00A03974"/>
    <w:rsid w:val="00A42F65"/>
    <w:rsid w:val="00A60F2F"/>
    <w:rsid w:val="00A97556"/>
    <w:rsid w:val="00AE1AD8"/>
    <w:rsid w:val="00AE3DDA"/>
    <w:rsid w:val="00AF1D89"/>
    <w:rsid w:val="00B717DB"/>
    <w:rsid w:val="00BA6F8E"/>
    <w:rsid w:val="00BD6A81"/>
    <w:rsid w:val="00BD6E72"/>
    <w:rsid w:val="00C124A0"/>
    <w:rsid w:val="00C64C40"/>
    <w:rsid w:val="00C7656C"/>
    <w:rsid w:val="00CA6EC2"/>
    <w:rsid w:val="00D06E86"/>
    <w:rsid w:val="00D1497B"/>
    <w:rsid w:val="00D8657D"/>
    <w:rsid w:val="00D87FFB"/>
    <w:rsid w:val="00DB6AD6"/>
    <w:rsid w:val="00E07900"/>
    <w:rsid w:val="00E127BB"/>
    <w:rsid w:val="00E43B9B"/>
    <w:rsid w:val="00E86F14"/>
    <w:rsid w:val="00EC40B2"/>
    <w:rsid w:val="00FA1D63"/>
    <w:rsid w:val="00FB3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059"/>
  </w:style>
  <w:style w:type="paragraph" w:styleId="Footer">
    <w:name w:val="footer"/>
    <w:basedOn w:val="Normal"/>
    <w:link w:val="FooterChar"/>
    <w:uiPriority w:val="99"/>
    <w:semiHidden/>
    <w:unhideWhenUsed/>
    <w:rsid w:val="00211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059"/>
  </w:style>
  <w:style w:type="table" w:styleId="TableGrid">
    <w:name w:val="Table Grid"/>
    <w:basedOn w:val="TableNormal"/>
    <w:uiPriority w:val="59"/>
    <w:rsid w:val="00211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561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6E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Macintosh Word</Application>
  <DocSecurity>4</DocSecurity>
  <Lines>18</Lines>
  <Paragraphs>5</Paragraphs>
  <ScaleCrop>false</ScaleCrop>
  <Company>Purdue University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Freemyer</dc:creator>
  <cp:keywords/>
  <cp:lastModifiedBy>Microsoft Office User</cp:lastModifiedBy>
  <cp:revision>2</cp:revision>
  <dcterms:created xsi:type="dcterms:W3CDTF">2011-06-12T14:46:00Z</dcterms:created>
  <dcterms:modified xsi:type="dcterms:W3CDTF">2011-06-12T14:46:00Z</dcterms:modified>
</cp:coreProperties>
</file>